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34" w:rsidRPr="006A3A34" w:rsidRDefault="001109B9" w:rsidP="001109B9">
      <w:pPr>
        <w:spacing w:afterLines="50" w:line="480" w:lineRule="auto"/>
        <w:jc w:val="center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我院</w:t>
      </w:r>
      <w:r w:rsidR="006A3A34" w:rsidRPr="006A3A34">
        <w:rPr>
          <w:rFonts w:ascii="黑体" w:eastAsia="黑体" w:hAnsi="黑体" w:hint="eastAsia"/>
          <w:color w:val="000000"/>
          <w:sz w:val="32"/>
          <w:szCs w:val="32"/>
        </w:rPr>
        <w:t>教授授本科课程占课程总门次数的比例</w:t>
      </w:r>
    </w:p>
    <w:p w:rsidR="00505BCE" w:rsidRPr="006A3A34" w:rsidRDefault="00505BCE" w:rsidP="006A3A34">
      <w:pPr>
        <w:spacing w:line="48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6A3A34">
        <w:rPr>
          <w:rFonts w:ascii="仿宋" w:eastAsia="仿宋" w:hAnsi="仿宋" w:cs="宋体" w:hint="eastAsia"/>
          <w:color w:val="000000"/>
          <w:sz w:val="28"/>
          <w:szCs w:val="28"/>
        </w:rPr>
        <w:t>学校坚持以队伍建设为核心，精心打造了一支师德高尚、业务精湛、结构合理、充满活力的高素质教师队伍。邀请中科院院士、“长江学者”进校园，为我校师生讲学；聘请社会知名人士、企业行业专家和高管担任特聘教授和兼职教授，对学校教育教学工作进行全面指导；聘任高水平教授、专家担任学科带头人，坚持教授、专家进课堂、进实验室，直接参与学校的教学实践工作。学校成立教师发展中心，通过“科研团队”“双百”行动计划建设，重点培养一支“双师双能”型青年教师队伍；启动研究生教育工作，学校获得1个学术型硕士研究生培养点和1个专业学位硕士研究生培养点，16名青年教师获得南京师范大学、南京林业大学等高校硕士生导师资格，并已正式开展硕士研究生指导工作。一大批优秀青年教师迅速成长，成为学校教学、科研工作的中坚力量。其中65人取得博士学位，99人取得高级专业技术职务；近50人次入选高校“青蓝工程” “六大人才高峰”“333高层次人才培养工程”等各类省市高层次人才培养项目。教师获得“师德先进个人”“优秀教育工作者”“科技工作者先进典型”等多项荣誉称号。</w:t>
      </w:r>
    </w:p>
    <w:p w:rsidR="003D1FB8" w:rsidRPr="006A3A34" w:rsidRDefault="003D1FB8" w:rsidP="006A3A34">
      <w:pPr>
        <w:spacing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6A3A34">
        <w:rPr>
          <w:rFonts w:ascii="仿宋" w:eastAsia="仿宋" w:hAnsi="仿宋" w:hint="eastAsia"/>
          <w:color w:val="000000"/>
          <w:sz w:val="28"/>
          <w:szCs w:val="28"/>
        </w:rPr>
        <w:t>主讲本科</w:t>
      </w:r>
      <w:r w:rsidR="00F270FC" w:rsidRPr="006A3A34">
        <w:rPr>
          <w:rFonts w:ascii="仿宋" w:eastAsia="仿宋" w:hAnsi="仿宋" w:hint="eastAsia"/>
          <w:color w:val="000000"/>
          <w:sz w:val="28"/>
          <w:szCs w:val="28"/>
        </w:rPr>
        <w:t>课程</w:t>
      </w:r>
      <w:r w:rsidRPr="006A3A34">
        <w:rPr>
          <w:rFonts w:ascii="仿宋" w:eastAsia="仿宋" w:hAnsi="仿宋" w:hint="eastAsia"/>
          <w:color w:val="000000"/>
          <w:sz w:val="28"/>
          <w:szCs w:val="28"/>
        </w:rPr>
        <w:t>的教授占教授总数的比例为100%，教授授本科课程占课程总</w:t>
      </w:r>
      <w:r w:rsidR="00F270FC" w:rsidRPr="006A3A34">
        <w:rPr>
          <w:rFonts w:ascii="仿宋" w:eastAsia="仿宋" w:hAnsi="仿宋" w:hint="eastAsia"/>
          <w:color w:val="000000"/>
          <w:sz w:val="28"/>
          <w:szCs w:val="28"/>
        </w:rPr>
        <w:t>门次数的比例为</w:t>
      </w:r>
      <w:r w:rsidR="00345670" w:rsidRPr="006A3A34">
        <w:rPr>
          <w:rFonts w:ascii="仿宋" w:eastAsia="仿宋" w:hAnsi="仿宋" w:hint="eastAsia"/>
          <w:color w:val="000000"/>
          <w:sz w:val="28"/>
          <w:szCs w:val="28"/>
        </w:rPr>
        <w:t>5.27</w:t>
      </w:r>
      <w:r w:rsidRPr="006A3A34">
        <w:rPr>
          <w:rFonts w:ascii="仿宋" w:eastAsia="仿宋" w:hAnsi="仿宋" w:hint="eastAsia"/>
          <w:color w:val="000000"/>
          <w:sz w:val="28"/>
          <w:szCs w:val="28"/>
        </w:rPr>
        <w:t>%，副</w:t>
      </w:r>
      <w:r w:rsidR="00F270FC" w:rsidRPr="006A3A34">
        <w:rPr>
          <w:rFonts w:ascii="仿宋" w:eastAsia="仿宋" w:hAnsi="仿宋" w:hint="eastAsia"/>
          <w:color w:val="000000"/>
          <w:sz w:val="28"/>
          <w:szCs w:val="28"/>
        </w:rPr>
        <w:t>教授授本科课程占课程总门次数的比例为</w:t>
      </w:r>
      <w:r w:rsidR="007C40EB" w:rsidRPr="006A3A34">
        <w:rPr>
          <w:rFonts w:ascii="仿宋" w:eastAsia="仿宋" w:hAnsi="仿宋" w:hint="eastAsia"/>
          <w:color w:val="000000"/>
          <w:sz w:val="28"/>
          <w:szCs w:val="28"/>
        </w:rPr>
        <w:t>30</w:t>
      </w:r>
      <w:r w:rsidRPr="006A3A34">
        <w:rPr>
          <w:rFonts w:ascii="仿宋" w:eastAsia="仿宋" w:hAnsi="仿宋" w:hint="eastAsia"/>
          <w:color w:val="000000"/>
          <w:sz w:val="28"/>
          <w:szCs w:val="28"/>
        </w:rPr>
        <w:t>%</w:t>
      </w:r>
      <w:r w:rsidR="00F270FC" w:rsidRPr="006A3A34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sectPr w:rsidR="003D1FB8" w:rsidRPr="006A3A34" w:rsidSect="00AE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44" w:rsidRDefault="00563A44" w:rsidP="00AC57C0">
      <w:r>
        <w:separator/>
      </w:r>
    </w:p>
  </w:endnote>
  <w:endnote w:type="continuationSeparator" w:id="1">
    <w:p w:rsidR="00563A44" w:rsidRDefault="00563A44" w:rsidP="00AC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44" w:rsidRDefault="00563A44" w:rsidP="00AC57C0">
      <w:r>
        <w:separator/>
      </w:r>
    </w:p>
  </w:footnote>
  <w:footnote w:type="continuationSeparator" w:id="1">
    <w:p w:rsidR="00563A44" w:rsidRDefault="00563A44" w:rsidP="00AC5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257"/>
    <w:rsid w:val="001109B9"/>
    <w:rsid w:val="001116C8"/>
    <w:rsid w:val="00147A26"/>
    <w:rsid w:val="001D5CFB"/>
    <w:rsid w:val="00345670"/>
    <w:rsid w:val="00354257"/>
    <w:rsid w:val="003D1FB8"/>
    <w:rsid w:val="00445A93"/>
    <w:rsid w:val="00505BCE"/>
    <w:rsid w:val="00563A44"/>
    <w:rsid w:val="00626D52"/>
    <w:rsid w:val="006A1BEC"/>
    <w:rsid w:val="006A3A34"/>
    <w:rsid w:val="00721543"/>
    <w:rsid w:val="00746779"/>
    <w:rsid w:val="00783F74"/>
    <w:rsid w:val="007C40EB"/>
    <w:rsid w:val="00837138"/>
    <w:rsid w:val="00AC57C0"/>
    <w:rsid w:val="00AE38CA"/>
    <w:rsid w:val="00AE41F3"/>
    <w:rsid w:val="00CC7B41"/>
    <w:rsid w:val="00D0101E"/>
    <w:rsid w:val="00D2073B"/>
    <w:rsid w:val="00DC2B4A"/>
    <w:rsid w:val="00E259D5"/>
    <w:rsid w:val="00E34E71"/>
    <w:rsid w:val="00E45381"/>
    <w:rsid w:val="00F2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7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12</cp:revision>
  <cp:lastPrinted>2018-09-19T02:53:00Z</cp:lastPrinted>
  <dcterms:created xsi:type="dcterms:W3CDTF">2018-09-26T12:41:00Z</dcterms:created>
  <dcterms:modified xsi:type="dcterms:W3CDTF">2020-10-12T02:25:00Z</dcterms:modified>
</cp:coreProperties>
</file>